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heme="minorEastAsia"/>
          <w:color w:val="333333"/>
          <w:kern w:val="0"/>
          <w:sz w:val="44"/>
          <w:szCs w:val="44"/>
        </w:rPr>
      </w:pPr>
      <w:r>
        <w:rPr>
          <w:rFonts w:hint="eastAsia" w:ascii="仿宋" w:hAnsi="仿宋" w:eastAsia="仿宋" w:cstheme="minorEastAsia"/>
          <w:color w:val="333333"/>
          <w:kern w:val="0"/>
          <w:sz w:val="44"/>
          <w:szCs w:val="44"/>
        </w:rPr>
        <w:t>关于《中华人民共和国海船船员适任考试和发证规则</w:t>
      </w:r>
      <w:r>
        <w:rPr>
          <w:rFonts w:hint="eastAsia" w:ascii="仿宋" w:hAnsi="仿宋" w:eastAsia="仿宋" w:cstheme="minorEastAsia"/>
          <w:color w:val="333333"/>
          <w:kern w:val="0"/>
          <w:sz w:val="44"/>
          <w:szCs w:val="44"/>
          <w:lang w:eastAsia="zh-CN"/>
        </w:rPr>
        <w:t>（修订）</w:t>
      </w:r>
      <w:r>
        <w:rPr>
          <w:rFonts w:hint="eastAsia" w:ascii="仿宋" w:hAnsi="仿宋" w:eastAsia="仿宋" w:cstheme="minorEastAsia"/>
          <w:color w:val="333333"/>
          <w:kern w:val="0"/>
          <w:sz w:val="44"/>
          <w:szCs w:val="44"/>
        </w:rPr>
        <w:t>（征求意见稿）》</w:t>
      </w:r>
      <w:r>
        <w:rPr>
          <w:rFonts w:hint="eastAsia" w:ascii="仿宋" w:hAnsi="仿宋" w:eastAsia="仿宋" w:cstheme="minorEastAsia"/>
          <w:color w:val="333333"/>
          <w:kern w:val="0"/>
          <w:sz w:val="44"/>
          <w:szCs w:val="44"/>
          <w:lang w:eastAsia="zh-CN"/>
        </w:rPr>
        <w:t>的起草</w:t>
      </w:r>
      <w:r>
        <w:rPr>
          <w:rFonts w:hint="eastAsia" w:ascii="仿宋" w:hAnsi="仿宋" w:eastAsia="仿宋" w:cstheme="minorEastAsia"/>
          <w:color w:val="333333"/>
          <w:kern w:val="0"/>
          <w:sz w:val="44"/>
          <w:szCs w:val="44"/>
        </w:rPr>
        <w:t>说明</w:t>
      </w:r>
    </w:p>
    <w:p>
      <w:pPr>
        <w:jc w:val="center"/>
        <w:rPr>
          <w:rFonts w:ascii="仿宋" w:hAnsi="仿宋" w:eastAsia="仿宋" w:cstheme="minorEastAsia"/>
          <w:color w:val="333333"/>
          <w:kern w:val="0"/>
          <w:sz w:val="44"/>
          <w:szCs w:val="44"/>
        </w:rPr>
      </w:pPr>
    </w:p>
    <w:p>
      <w:pPr>
        <w:keepNext w:val="0"/>
        <w:keepLines w:val="0"/>
        <w:pageBreakBefore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一、起草背景</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中华人民共和国海船船员适任考试和发证规则》自2011年12月27日颁布，2013年3月1日施行以来，先后经过2013年和2017年两次修订,对我国全面履行经修正的STCW78公约，有效提升海船船员技术素质，保障海上人命和财产安全，保护海洋环境，促进航运发展发挥了重要作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为服务国家海洋强国、交通强国战略，贯彻习近平总书记慰问“玫瑰轮”时对船员工作的重要指示精神，落实国务院“放管服”工作部署、《国务院关于促进海运业健康发展的若干意见》和《国家职业教育改革实施方案》，切实解决船员队伍发展遇到的问题，提升船员的职业技能和综合素质，促进船员队伍科学、可持续发展，服务交通强国战略，需要对《中华人民共和国海船船员适任考试和发证规则》进行适当修订，为</w:t>
      </w:r>
      <w:r>
        <w:rPr>
          <w:rFonts w:ascii="仿宋" w:hAnsi="仿宋" w:eastAsia="仿宋" w:cstheme="minorEastAsia"/>
          <w:bCs/>
          <w:color w:val="333333"/>
          <w:kern w:val="0"/>
          <w:sz w:val="32"/>
          <w:szCs w:val="32"/>
        </w:rPr>
        <w:t>高素质船员队伍</w:t>
      </w:r>
      <w:r>
        <w:rPr>
          <w:rFonts w:hint="eastAsia" w:ascii="仿宋" w:hAnsi="仿宋" w:eastAsia="仿宋" w:cstheme="minorEastAsia"/>
          <w:bCs/>
          <w:color w:val="333333"/>
          <w:kern w:val="0"/>
          <w:sz w:val="32"/>
          <w:szCs w:val="32"/>
        </w:rPr>
        <w:t>发展</w:t>
      </w:r>
      <w:r>
        <w:rPr>
          <w:rFonts w:ascii="仿宋" w:hAnsi="仿宋" w:eastAsia="仿宋" w:cstheme="minorEastAsia"/>
          <w:bCs/>
          <w:color w:val="333333"/>
          <w:kern w:val="0"/>
          <w:sz w:val="32"/>
          <w:szCs w:val="32"/>
        </w:rPr>
        <w:t>提供</w:t>
      </w:r>
      <w:r>
        <w:rPr>
          <w:rFonts w:hint="eastAsia" w:ascii="仿宋" w:hAnsi="仿宋" w:eastAsia="仿宋" w:cstheme="minorEastAsia"/>
          <w:bCs/>
          <w:color w:val="333333"/>
          <w:kern w:val="0"/>
          <w:sz w:val="32"/>
          <w:szCs w:val="32"/>
        </w:rPr>
        <w:t>有力</w:t>
      </w:r>
      <w:r>
        <w:rPr>
          <w:rFonts w:ascii="仿宋" w:hAnsi="仿宋" w:eastAsia="仿宋" w:cstheme="minorEastAsia"/>
          <w:bCs/>
          <w:color w:val="333333"/>
          <w:kern w:val="0"/>
          <w:sz w:val="32"/>
          <w:szCs w:val="32"/>
        </w:rPr>
        <w:t>的政策保障</w:t>
      </w:r>
      <w:r>
        <w:rPr>
          <w:rFonts w:hint="eastAsia" w:ascii="仿宋" w:hAnsi="仿宋" w:eastAsia="仿宋" w:cstheme="minorEastAsia"/>
          <w:bCs/>
          <w:color w:val="333333"/>
          <w:kern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二、主要修订内容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（一）推进供给侧改革，壮大海船船员队伍，服务交通强国战略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1、调整适任证书等级划分，将二副、三副3000总吨及以上和500-3000总吨两个等级合并为500总吨及以上一个等级（二管轮、三管轮同理），让船员任职有更多的选择。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theme="minorEastAsia"/>
          <w:color w:val="333333"/>
          <w:kern w:val="0"/>
          <w:sz w:val="32"/>
          <w:szCs w:val="32"/>
        </w:rPr>
        <w:t>从海船船员数量结构和我国船舶数量来看，我国二等船员（500-3000总吨或750-3000千瓦）的数量不能满足二等船舶配员的需要（国内航海航区二等船舶配员船员需求与船员数量对比如下图），但由于二等船舶任职资历无法作为持有一等适任证书船员职务晋升和适任证书再有效的资历等原因，船员不愿到二等船上任职，一定程度也影响了国内航行船舶的安全。参照STCW公约要求，将二副、三副、二管轮、三管轮适任证书划分为500总吨/750千瓦及以上一个等级，可以增加船员上船任职机会，吸引船员到沿海船舶任职，促进航运安全。</w:t>
      </w:r>
    </w:p>
    <w:tbl>
      <w:tblPr>
        <w:tblStyle w:val="4"/>
        <w:tblW w:w="8920" w:type="dxa"/>
        <w:tblInd w:w="89" w:type="dxa"/>
        <w:tblLayout w:type="fixed"/>
        <w:tblCellMar>
          <w:top w:w="0" w:type="dxa"/>
          <w:left w:w="108" w:type="dxa"/>
          <w:bottom w:w="0" w:type="dxa"/>
          <w:right w:w="108" w:type="dxa"/>
        </w:tblCellMar>
      </w:tblPr>
      <w:tblGrid>
        <w:gridCol w:w="1275"/>
        <w:gridCol w:w="1001"/>
        <w:gridCol w:w="1083"/>
        <w:gridCol w:w="1066"/>
        <w:gridCol w:w="1274"/>
        <w:gridCol w:w="1001"/>
        <w:gridCol w:w="1154"/>
        <w:gridCol w:w="1066"/>
      </w:tblGrid>
      <w:tr>
        <w:tblPrEx>
          <w:tblLayout w:type="fixed"/>
          <w:tblCellMar>
            <w:top w:w="0" w:type="dxa"/>
            <w:left w:w="108" w:type="dxa"/>
            <w:bottom w:w="0" w:type="dxa"/>
            <w:right w:w="108" w:type="dxa"/>
          </w:tblCellMar>
        </w:tblPrEx>
        <w:trPr>
          <w:trHeight w:val="610" w:hRule="atLeast"/>
        </w:trPr>
        <w:tc>
          <w:tcPr>
            <w:tcW w:w="1275"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等级</w:t>
            </w:r>
          </w:p>
        </w:tc>
        <w:tc>
          <w:tcPr>
            <w:tcW w:w="1001"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职务</w:t>
            </w:r>
          </w:p>
        </w:tc>
        <w:tc>
          <w:tcPr>
            <w:tcW w:w="2149" w:type="dxa"/>
            <w:gridSpan w:val="2"/>
            <w:tcBorders>
              <w:top w:val="single" w:color="auto" w:sz="8" w:space="0"/>
              <w:left w:val="nil"/>
              <w:bottom w:val="single" w:color="auto" w:sz="8" w:space="0"/>
              <w:right w:val="single" w:color="000000"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沿海航区</w:t>
            </w:r>
          </w:p>
        </w:tc>
        <w:tc>
          <w:tcPr>
            <w:tcW w:w="1274"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等级</w:t>
            </w:r>
          </w:p>
        </w:tc>
        <w:tc>
          <w:tcPr>
            <w:tcW w:w="1001"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职务</w:t>
            </w:r>
          </w:p>
        </w:tc>
        <w:tc>
          <w:tcPr>
            <w:tcW w:w="2220" w:type="dxa"/>
            <w:gridSpan w:val="2"/>
            <w:tcBorders>
              <w:top w:val="single" w:color="auto" w:sz="8" w:space="0"/>
              <w:left w:val="nil"/>
              <w:bottom w:val="single" w:color="auto" w:sz="8" w:space="0"/>
              <w:right w:val="single" w:color="000000"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沿海航区</w:t>
            </w:r>
          </w:p>
        </w:tc>
      </w:tr>
      <w:tr>
        <w:tblPrEx>
          <w:tblLayout w:type="fixed"/>
          <w:tblCellMar>
            <w:top w:w="0" w:type="dxa"/>
            <w:left w:w="108" w:type="dxa"/>
            <w:bottom w:w="0" w:type="dxa"/>
            <w:right w:w="108" w:type="dxa"/>
          </w:tblCellMar>
        </w:tblPrEx>
        <w:trPr>
          <w:trHeight w:val="825" w:hRule="atLeast"/>
        </w:trPr>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001" w:type="dxa"/>
            <w:vMerge w:val="continue"/>
            <w:tcBorders>
              <w:top w:val="single" w:color="auto" w:sz="8" w:space="0"/>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083"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船舶配员需求数</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船员</w:t>
            </w:r>
          </w:p>
        </w:tc>
        <w:tc>
          <w:tcPr>
            <w:tcW w:w="1274" w:type="dxa"/>
            <w:vMerge w:val="continue"/>
            <w:tcBorders>
              <w:top w:val="single" w:color="auto" w:sz="8" w:space="0"/>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001" w:type="dxa"/>
            <w:vMerge w:val="continue"/>
            <w:tcBorders>
              <w:top w:val="single" w:color="auto" w:sz="8" w:space="0"/>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154"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船舶配员需求数</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船员</w:t>
            </w:r>
          </w:p>
        </w:tc>
      </w:tr>
      <w:tr>
        <w:tblPrEx>
          <w:tblLayout w:type="fixed"/>
          <w:tblCellMar>
            <w:top w:w="0" w:type="dxa"/>
            <w:left w:w="108" w:type="dxa"/>
            <w:bottom w:w="0" w:type="dxa"/>
            <w:right w:w="108" w:type="dxa"/>
          </w:tblCellMar>
        </w:tblPrEx>
        <w:trPr>
          <w:trHeight w:val="458" w:hRule="atLeast"/>
        </w:trPr>
        <w:tc>
          <w:tcPr>
            <w:tcW w:w="12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500</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3000总吨</w:t>
            </w:r>
          </w:p>
        </w:tc>
        <w:tc>
          <w:tcPr>
            <w:tcW w:w="1001"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船长</w:t>
            </w:r>
          </w:p>
        </w:tc>
        <w:tc>
          <w:tcPr>
            <w:tcW w:w="1083"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3821</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3914</w:t>
            </w:r>
          </w:p>
        </w:tc>
        <w:tc>
          <w:tcPr>
            <w:tcW w:w="1274"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750</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3000千瓦</w:t>
            </w:r>
          </w:p>
        </w:tc>
        <w:tc>
          <w:tcPr>
            <w:tcW w:w="1001"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轮机长</w:t>
            </w:r>
          </w:p>
        </w:tc>
        <w:tc>
          <w:tcPr>
            <w:tcW w:w="1154"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4060</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5789</w:t>
            </w:r>
          </w:p>
        </w:tc>
      </w:tr>
      <w:tr>
        <w:tblPrEx>
          <w:tblLayout w:type="fixed"/>
          <w:tblCellMar>
            <w:top w:w="0" w:type="dxa"/>
            <w:left w:w="108" w:type="dxa"/>
            <w:bottom w:w="0" w:type="dxa"/>
            <w:right w:w="108" w:type="dxa"/>
          </w:tblCellMar>
        </w:tblPrEx>
        <w:trPr>
          <w:trHeight w:val="678" w:hRule="atLeast"/>
        </w:trPr>
        <w:tc>
          <w:tcPr>
            <w:tcW w:w="1275" w:type="dxa"/>
            <w:vMerge w:val="continue"/>
            <w:tcBorders>
              <w:top w:val="nil"/>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001"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大副</w:t>
            </w:r>
          </w:p>
        </w:tc>
        <w:tc>
          <w:tcPr>
            <w:tcW w:w="1083"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3756</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2842</w:t>
            </w:r>
          </w:p>
        </w:tc>
        <w:tc>
          <w:tcPr>
            <w:tcW w:w="1274" w:type="dxa"/>
            <w:vMerge w:val="continue"/>
            <w:tcBorders>
              <w:top w:val="nil"/>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001"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大管轮</w:t>
            </w:r>
          </w:p>
        </w:tc>
        <w:tc>
          <w:tcPr>
            <w:tcW w:w="1154"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3942</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3109</w:t>
            </w:r>
          </w:p>
        </w:tc>
      </w:tr>
      <w:tr>
        <w:tblPrEx>
          <w:tblLayout w:type="fixed"/>
          <w:tblCellMar>
            <w:top w:w="0" w:type="dxa"/>
            <w:left w:w="108" w:type="dxa"/>
            <w:bottom w:w="0" w:type="dxa"/>
            <w:right w:w="108" w:type="dxa"/>
          </w:tblCellMar>
        </w:tblPrEx>
        <w:trPr>
          <w:trHeight w:val="485" w:hRule="atLeast"/>
        </w:trPr>
        <w:tc>
          <w:tcPr>
            <w:tcW w:w="1275" w:type="dxa"/>
            <w:vMerge w:val="continue"/>
            <w:tcBorders>
              <w:top w:val="nil"/>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001"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二副</w:t>
            </w:r>
          </w:p>
        </w:tc>
        <w:tc>
          <w:tcPr>
            <w:tcW w:w="1083"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139</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2592</w:t>
            </w:r>
          </w:p>
        </w:tc>
        <w:tc>
          <w:tcPr>
            <w:tcW w:w="1274" w:type="dxa"/>
            <w:vMerge w:val="continue"/>
            <w:tcBorders>
              <w:top w:val="nil"/>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001"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二管轮</w:t>
            </w:r>
          </w:p>
        </w:tc>
        <w:tc>
          <w:tcPr>
            <w:tcW w:w="1154"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346</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2916</w:t>
            </w:r>
          </w:p>
        </w:tc>
      </w:tr>
      <w:tr>
        <w:tblPrEx>
          <w:tblLayout w:type="fixed"/>
          <w:tblCellMar>
            <w:top w:w="0" w:type="dxa"/>
            <w:left w:w="108" w:type="dxa"/>
            <w:bottom w:w="0" w:type="dxa"/>
            <w:right w:w="108" w:type="dxa"/>
          </w:tblCellMar>
        </w:tblPrEx>
        <w:trPr>
          <w:trHeight w:val="468" w:hRule="atLeast"/>
        </w:trPr>
        <w:tc>
          <w:tcPr>
            <w:tcW w:w="1275" w:type="dxa"/>
            <w:vMerge w:val="continue"/>
            <w:tcBorders>
              <w:top w:val="nil"/>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001"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三副</w:t>
            </w:r>
          </w:p>
        </w:tc>
        <w:tc>
          <w:tcPr>
            <w:tcW w:w="1083"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2849</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146</w:t>
            </w:r>
          </w:p>
        </w:tc>
        <w:tc>
          <w:tcPr>
            <w:tcW w:w="1274" w:type="dxa"/>
            <w:vMerge w:val="continue"/>
            <w:tcBorders>
              <w:top w:val="nil"/>
              <w:left w:val="single" w:color="auto" w:sz="8" w:space="0"/>
              <w:bottom w:val="single" w:color="000000" w:sz="8" w:space="0"/>
              <w:right w:val="single" w:color="auto" w:sz="8" w:space="0"/>
            </w:tcBorders>
            <w:vAlign w:val="center"/>
          </w:tcPr>
          <w:p>
            <w:pPr>
              <w:widowControl/>
              <w:jc w:val="distribute"/>
              <w:rPr>
                <w:rFonts w:ascii="仿宋" w:hAnsi="仿宋" w:eastAsia="仿宋" w:cs="宋体"/>
                <w:color w:val="000000"/>
                <w:kern w:val="0"/>
                <w:sz w:val="24"/>
                <w:szCs w:val="24"/>
              </w:rPr>
            </w:pPr>
          </w:p>
        </w:tc>
        <w:tc>
          <w:tcPr>
            <w:tcW w:w="1001"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三管轮</w:t>
            </w:r>
          </w:p>
        </w:tc>
        <w:tc>
          <w:tcPr>
            <w:tcW w:w="1154"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1582</w:t>
            </w:r>
          </w:p>
        </w:tc>
        <w:tc>
          <w:tcPr>
            <w:tcW w:w="1066" w:type="dxa"/>
            <w:tcBorders>
              <w:top w:val="nil"/>
              <w:left w:val="nil"/>
              <w:bottom w:val="single" w:color="auto" w:sz="8" w:space="0"/>
              <w:right w:val="single" w:color="auto" w:sz="8" w:space="0"/>
            </w:tcBorders>
            <w:shd w:val="clear" w:color="000000" w:fill="FFFFFF"/>
            <w:vAlign w:val="center"/>
          </w:tcPr>
          <w:p>
            <w:pPr>
              <w:widowControl/>
              <w:jc w:val="distribute"/>
              <w:rPr>
                <w:rFonts w:ascii="仿宋" w:hAnsi="仿宋" w:eastAsia="仿宋" w:cs="宋体"/>
                <w:color w:val="000000"/>
                <w:kern w:val="0"/>
                <w:sz w:val="24"/>
                <w:szCs w:val="24"/>
              </w:rPr>
            </w:pPr>
            <w:r>
              <w:rPr>
                <w:rFonts w:hint="eastAsia" w:ascii="仿宋" w:hAnsi="仿宋" w:eastAsia="仿宋" w:cs="宋体"/>
                <w:color w:val="000000"/>
                <w:kern w:val="0"/>
                <w:sz w:val="24"/>
                <w:szCs w:val="24"/>
              </w:rPr>
              <w:t>272</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2、缩短船员成长周期，将三副、三管轮晋升二副、二管轮的资历要求缩短为12个月，让船员更快成长。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theme="minorEastAsia"/>
          <w:color w:val="333333"/>
          <w:kern w:val="0"/>
          <w:sz w:val="32"/>
          <w:szCs w:val="32"/>
        </w:rPr>
      </w:pPr>
      <w:r>
        <w:rPr>
          <w:rFonts w:hint="eastAsia" w:ascii="仿宋" w:hAnsi="仿宋" w:eastAsia="仿宋" w:cstheme="minorEastAsia"/>
          <w:bCs/>
          <w:color w:val="333333"/>
          <w:kern w:val="0"/>
          <w:sz w:val="32"/>
          <w:szCs w:val="32"/>
        </w:rPr>
        <w:t>数量充足，结构合理的船员队伍是交通强国战略人才保障。我国海船船员，特别是高级船员，绝大多数毕业于航海院校，</w:t>
      </w:r>
      <w:r>
        <w:rPr>
          <w:rFonts w:hint="eastAsia" w:ascii="仿宋" w:hAnsi="仿宋" w:eastAsia="仿宋" w:cstheme="minorEastAsia"/>
          <w:color w:val="333333"/>
          <w:kern w:val="0"/>
          <w:sz w:val="32"/>
          <w:szCs w:val="32"/>
        </w:rPr>
        <w:t>从近年全国海上专业招生数量和参加适任考试人数来看，都大幅下降，这里面有经济和社会发展导致毕业生从业意愿下降的原因，也有我国船员海上服务资历要求时间过长的因素，需要我们适当调整海上服务资历要求。下图是1997年以来我国考试发证规则的资历要求，我国各次规则修订资历的调整主要是针对当时船员供给情况（STCW公约1995年以来对各职务船员晋升的资历要求没有发生过变化），2011年规则修订时我国航海教育招生53996人，而后招生规模逐年下降，到2017年我国航海教育招生降至12803人，降幅达76.3﹪，同时航海专业学生参加适任证书考试的比例也逐年下降。从供方（航海院校）和需求方（航运公司）反馈信息来看目前我国已经出现了新进船员供应不足的问题。本次修订拟将三副晋升二副、三管轮晋升二管轮资历由18个月调整为12个月。</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1701"/>
        <w:gridCol w:w="1559"/>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59" w:type="dxa"/>
            <w:vMerge w:val="restart"/>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规则</w:t>
            </w:r>
          </w:p>
        </w:tc>
        <w:tc>
          <w:tcPr>
            <w:tcW w:w="6520" w:type="dxa"/>
            <w:gridSpan w:val="4"/>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职务晋升资历要求（月）</w:t>
            </w:r>
          </w:p>
        </w:tc>
        <w:tc>
          <w:tcPr>
            <w:tcW w:w="1418" w:type="dxa"/>
            <w:vMerge w:val="restart"/>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vAlign w:val="center"/>
          </w:tcPr>
          <w:p>
            <w:pPr>
              <w:jc w:val="distribute"/>
              <w:rPr>
                <w:rFonts w:ascii="仿宋" w:hAnsi="仿宋" w:eastAsia="仿宋" w:cstheme="minorEastAsia"/>
                <w:color w:val="333333"/>
                <w:kern w:val="0"/>
                <w:sz w:val="24"/>
                <w:szCs w:val="24"/>
              </w:rPr>
            </w:pP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晋升三副/三管轮要求水手/机工资历</w:t>
            </w: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晋升二副/二管轮要求三副/三管轮资历</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晋升大副/大管轮要求二副/二管轮</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晋升船长/轮机长要求大副/大管轮</w:t>
            </w:r>
          </w:p>
        </w:tc>
        <w:tc>
          <w:tcPr>
            <w:tcW w:w="1418" w:type="dxa"/>
            <w:vMerge w:val="continue"/>
            <w:vAlign w:val="center"/>
          </w:tcPr>
          <w:p>
            <w:pPr>
              <w:jc w:val="distribute"/>
              <w:rPr>
                <w:rFonts w:ascii="仿宋" w:hAnsi="仿宋" w:eastAsia="仿宋" w:cstheme="minorEastAsia"/>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1997</w:t>
            </w: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12</w:t>
            </w:r>
            <w:r>
              <w:rPr>
                <w:rFonts w:ascii="仿宋" w:hAnsi="仿宋" w:eastAsia="仿宋" w:cstheme="minorEastAsia"/>
                <w:color w:val="333333"/>
                <w:kern w:val="0"/>
                <w:sz w:val="24"/>
                <w:szCs w:val="24"/>
              </w:rPr>
              <w:t xml:space="preserve"> </w:t>
            </w: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18</w:t>
            </w:r>
            <w:r>
              <w:rPr>
                <w:rFonts w:ascii="仿宋" w:hAnsi="仿宋" w:eastAsia="仿宋" w:cstheme="minorEastAsia"/>
                <w:color w:val="333333"/>
                <w:kern w:val="0"/>
                <w:sz w:val="24"/>
                <w:szCs w:val="24"/>
              </w:rPr>
              <w:t xml:space="preserve"> </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12</w:t>
            </w:r>
            <w:r>
              <w:rPr>
                <w:rFonts w:ascii="仿宋" w:hAnsi="仿宋" w:eastAsia="仿宋" w:cstheme="minorEastAsia"/>
                <w:color w:val="333333"/>
                <w:kern w:val="0"/>
                <w:sz w:val="24"/>
                <w:szCs w:val="24"/>
              </w:rPr>
              <w:t xml:space="preserve"> </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18</w:t>
            </w:r>
          </w:p>
        </w:tc>
        <w:tc>
          <w:tcPr>
            <w:tcW w:w="1418"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操作级30个月资历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2004</w:t>
            </w: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12</w:t>
            </w:r>
            <w:r>
              <w:rPr>
                <w:rFonts w:ascii="仿宋" w:hAnsi="仿宋" w:eastAsia="仿宋" w:cstheme="minorEastAsia"/>
                <w:color w:val="333333"/>
                <w:kern w:val="0"/>
                <w:sz w:val="24"/>
                <w:szCs w:val="24"/>
              </w:rPr>
              <w:t xml:space="preserve"> </w:t>
            </w: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12</w:t>
            </w:r>
            <w:r>
              <w:rPr>
                <w:rFonts w:ascii="仿宋" w:hAnsi="仿宋" w:eastAsia="仿宋" w:cstheme="minorEastAsia"/>
                <w:color w:val="333333"/>
                <w:kern w:val="0"/>
                <w:sz w:val="24"/>
                <w:szCs w:val="24"/>
              </w:rPr>
              <w:t xml:space="preserve"> </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12</w:t>
            </w:r>
            <w:r>
              <w:rPr>
                <w:rFonts w:ascii="仿宋" w:hAnsi="仿宋" w:eastAsia="仿宋" w:cstheme="minorEastAsia"/>
                <w:color w:val="333333"/>
                <w:kern w:val="0"/>
                <w:sz w:val="24"/>
                <w:szCs w:val="24"/>
              </w:rPr>
              <w:t xml:space="preserve"> </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18</w:t>
            </w:r>
          </w:p>
        </w:tc>
        <w:tc>
          <w:tcPr>
            <w:tcW w:w="1418"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操作级24个月资历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2011</w:t>
            </w: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18</w:t>
            </w:r>
            <w:r>
              <w:rPr>
                <w:rFonts w:ascii="仿宋" w:hAnsi="仿宋" w:eastAsia="仿宋" w:cstheme="minorEastAsia"/>
                <w:color w:val="333333"/>
                <w:kern w:val="0"/>
                <w:sz w:val="24"/>
                <w:szCs w:val="24"/>
              </w:rPr>
              <w:t xml:space="preserve"> </w:t>
            </w: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18</w:t>
            </w:r>
            <w:r>
              <w:rPr>
                <w:rFonts w:ascii="仿宋" w:hAnsi="仿宋" w:eastAsia="仿宋" w:cstheme="minorEastAsia"/>
                <w:color w:val="333333"/>
                <w:kern w:val="0"/>
                <w:sz w:val="24"/>
                <w:szCs w:val="24"/>
              </w:rPr>
              <w:t xml:space="preserve"> </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12</w:t>
            </w:r>
            <w:r>
              <w:rPr>
                <w:rFonts w:ascii="仿宋" w:hAnsi="仿宋" w:eastAsia="仿宋" w:cstheme="minorEastAsia"/>
                <w:color w:val="333333"/>
                <w:kern w:val="0"/>
                <w:sz w:val="24"/>
                <w:szCs w:val="24"/>
              </w:rPr>
              <w:t xml:space="preserve"> </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18</w:t>
            </w:r>
          </w:p>
        </w:tc>
        <w:tc>
          <w:tcPr>
            <w:tcW w:w="1418"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操作级30个月资历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本次</w:t>
            </w:r>
          </w:p>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修订</w:t>
            </w: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不变</w:t>
            </w:r>
          </w:p>
        </w:tc>
        <w:tc>
          <w:tcPr>
            <w:tcW w:w="1701"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12</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不变</w:t>
            </w:r>
          </w:p>
        </w:tc>
        <w:tc>
          <w:tcPr>
            <w:tcW w:w="1559"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不变</w:t>
            </w:r>
          </w:p>
        </w:tc>
        <w:tc>
          <w:tcPr>
            <w:tcW w:w="1418" w:type="dxa"/>
            <w:vAlign w:val="center"/>
          </w:tcPr>
          <w:p>
            <w:pPr>
              <w:jc w:val="distribute"/>
              <w:rPr>
                <w:rFonts w:ascii="仿宋" w:hAnsi="仿宋" w:eastAsia="仿宋" w:cstheme="minorEastAsia"/>
                <w:color w:val="333333"/>
                <w:kern w:val="0"/>
                <w:sz w:val="24"/>
                <w:szCs w:val="24"/>
              </w:rPr>
            </w:pPr>
            <w:r>
              <w:rPr>
                <w:rFonts w:hint="eastAsia" w:ascii="仿宋" w:hAnsi="仿宋" w:eastAsia="仿宋" w:cstheme="minorEastAsia"/>
                <w:color w:val="333333"/>
                <w:kern w:val="0"/>
                <w:sz w:val="24"/>
                <w:szCs w:val="24"/>
              </w:rPr>
              <w:t>操作级24个月资历</w:t>
            </w:r>
          </w:p>
        </w:tc>
      </w:tr>
    </w:tbl>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color w:val="333333"/>
          <w:kern w:val="0"/>
          <w:sz w:val="32"/>
          <w:szCs w:val="32"/>
        </w:rPr>
        <w:t>3、通过</w:t>
      </w:r>
      <w:r>
        <w:rPr>
          <w:rFonts w:hint="eastAsia" w:ascii="仿宋" w:hAnsi="仿宋" w:eastAsia="仿宋" w:cstheme="minorEastAsia"/>
          <w:bCs/>
          <w:color w:val="333333"/>
          <w:kern w:val="0"/>
          <w:sz w:val="32"/>
          <w:szCs w:val="32"/>
        </w:rPr>
        <w:t>调整船员适任再有效职务、航区和知识更新培训要求</w:t>
      </w:r>
      <w:r>
        <w:rPr>
          <w:rFonts w:hint="eastAsia" w:ascii="仿宋" w:hAnsi="仿宋" w:eastAsia="仿宋" w:cstheme="minorEastAsia"/>
          <w:color w:val="333333"/>
          <w:kern w:val="0"/>
          <w:sz w:val="32"/>
          <w:szCs w:val="32"/>
        </w:rPr>
        <w:t>等拓宽再有效途径，让船员证书再有效更便捷，</w:t>
      </w:r>
      <w:r>
        <w:rPr>
          <w:rFonts w:hint="eastAsia" w:ascii="仿宋" w:hAnsi="仿宋" w:eastAsia="仿宋" w:cstheme="minorEastAsia"/>
          <w:bCs/>
          <w:color w:val="333333"/>
          <w:kern w:val="0"/>
          <w:sz w:val="32"/>
          <w:szCs w:val="32"/>
        </w:rPr>
        <w:t>保持</w:t>
      </w:r>
      <w:r>
        <w:rPr>
          <w:rFonts w:hint="eastAsia" w:ascii="仿宋" w:hAnsi="仿宋" w:eastAsia="仿宋" w:cstheme="minorEastAsia"/>
          <w:color w:val="333333"/>
          <w:kern w:val="0"/>
          <w:sz w:val="32"/>
          <w:szCs w:val="32"/>
        </w:rPr>
        <w:t>海船船员队伍稳定。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bCs/>
          <w:color w:val="333333"/>
          <w:kern w:val="0"/>
          <w:sz w:val="32"/>
          <w:szCs w:val="32"/>
        </w:rPr>
        <w:t>“11规则”要求船员适任证书再有效航区、等级、职务必须要求一致，而无限航区船员职务晋升要求的资历可以有部分航海航区资历；另外部分船员由于船期、公司发展等原因可能一段时间内没有担其任证书载明的最高职务，影响其适任证书再有效；再者从航运公司和船员反馈来看，目前强制要求的岸上知识更新培训增加了船员和公司的时间和经济成本，而航运公司实际上已经根据公约和科技发展及时为船员进行了更新培训。本次修订拟参照“11规则”职务晋升资历认定和STCW公约关于适任证书再有效规定，对于满足5年内12个月航海资历的船员可以认为其经过了知识更新，其申请适任证书再有效要求“无限航区的船员至少有6个月是在无限航区的船舶上任职，其余时间可以在沿海航区的船舶上任职；船长、轮机长担任大副、大管轮，二副、二管轮担任三副、三管轮满足本项其他条件可以申请适任证书再有效”。这些措施将拓宽船员适任证书再有效途径，</w:t>
      </w:r>
      <w:r>
        <w:rPr>
          <w:rFonts w:hint="eastAsia" w:ascii="仿宋" w:hAnsi="仿宋" w:eastAsia="仿宋" w:cstheme="minorEastAsia"/>
          <w:color w:val="333333"/>
          <w:kern w:val="0"/>
          <w:sz w:val="32"/>
          <w:szCs w:val="32"/>
        </w:rPr>
        <w:t>让船员证书再有效更便捷，</w:t>
      </w:r>
      <w:r>
        <w:rPr>
          <w:rFonts w:hint="eastAsia" w:ascii="仿宋" w:hAnsi="仿宋" w:eastAsia="仿宋" w:cstheme="minorEastAsia"/>
          <w:bCs/>
          <w:color w:val="333333"/>
          <w:kern w:val="0"/>
          <w:sz w:val="32"/>
          <w:szCs w:val="32"/>
        </w:rPr>
        <w:t>保持海船船员队伍稳定。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4、通过优化适任培训时间，取消全日制非航海类大专及以上教育学生参加三副、三管轮、电子电气员适任培训的18个月时间限制（根据培训大纲实际时间约为12个月），让更多非航海毕业的学生投身航海。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11规则”将全日制非航海类大专及以上学生参加三副、三管轮、电子电气员适任培训的时间由12个月调整为18个月，目的是保证培训时间、促进培训质量。目前此类培训基本没有生源，从航运企业和航海院校反馈信息来看，一部分非航海类大专及以上教育学生有从事航海的意愿，但18个月培训的时间和经济成本太大，阻碍了他们从事航海的热情和动力。本次修订拟取消全日制非航海类大专及以上教育学生参加三副、三管轮、电子电气员适任培训的18个月时间限制（根据培训大纲实际时间约为12个月），吸引全日制非航海类大专及以上教育学生投身航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（二）鼓励产学融合，促进航海职业教育，支持国家职业教育改革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5、通过完善培训大纲，增加航海类毕业生的职业证书。将值班水手、值班机工、电子技工培训和适任要求纳入操作级船员培训大纲，对于通过</w:t>
      </w:r>
      <w:bookmarkStart w:id="0" w:name="OLE_LINK6"/>
      <w:r>
        <w:rPr>
          <w:rFonts w:hint="eastAsia" w:ascii="仿宋" w:hAnsi="仿宋" w:eastAsia="仿宋" w:cstheme="minorEastAsia"/>
          <w:color w:val="333333"/>
          <w:kern w:val="0"/>
          <w:sz w:val="32"/>
          <w:szCs w:val="32"/>
        </w:rPr>
        <w:t>三副、二副、三管轮、二管轮、电子电气员</w:t>
      </w:r>
      <w:bookmarkEnd w:id="0"/>
      <w:r>
        <w:rPr>
          <w:rFonts w:hint="eastAsia" w:ascii="仿宋" w:hAnsi="仿宋" w:eastAsia="仿宋" w:cstheme="minorEastAsia"/>
          <w:color w:val="333333"/>
          <w:kern w:val="0"/>
          <w:sz w:val="32"/>
          <w:szCs w:val="32"/>
        </w:rPr>
        <w:t>适任考试且完成不少于6个月船上实践者，可以直接申请值班水手、值班机工、电子技工适任证书（免除值班水手、值班机工、电子技工考试）。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目前我国三副、三管轮、电子电气员等操作级船员不要求必须持有值班水手、值班机工、电子技工适任证书，培训大纲没有完全覆盖值班水手、值班机工、电子技工培训和适任要求，对船员的职业发展和初期上船任职都有一定影响。本次规则修订响应《国家职业教育改革实施方案》“培养高素质劳动者和技术技能人才”、“促进就业”“深化复合型技术技能人才培养培训模式改革，借鉴国际职业教育培训普遍做法，积极取得多类职业技能等级证书”等目标，将值班水手、值班机工、电子技工培训和适任要求纳入操作级船员培训大纲，对于通过三副、二副、三管轮、二管轮、电子电气员适任考试且完成不少于6个月船上实践者，可以直接申请值班水手、值班机工、电子技工适任证书（免除值班水手、值班机工、电子技工考试）。通过此措施，航海院校学生参加一次适任考试，取得支持级和操作级两本适任证书，提升了船员综合素质，拓宽了就业渠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6、增加具有丰富海上服务资历的值班水手和机工晋升高级船员不强制参加适任培训或缩短适任培训时间的职务晋升路径，允许担任值班水手、值班机工或者高级值班水手、高级值班机工合计不少于36个月、担任电子技工不少于36个月的船员申请三副、三管轮、电子电气员适任证书考试（不强制岗位适任培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11规则”规定我国水手、机工、电子技工等支持级船员晋升三副、三管轮、电子电气员需要具有相应的支持级资历18个月，并完成三副、三管轮、电子电气员岗位适任培训（按大纲要求约12个月）。近年除了航海院校毕业生外，极少有支持级船员晋升三副、三管轮、电子电气员，从航运公司和船员的反馈来看，由于时间和经济成本增加，12个月的岗位适任培训影响了支持级船员参加三副、三管轮、电子电气员考试的热情和动力。本次修订拟参照STCW公约，允许担任值班水手、值班机工或者高级值班水手、高级值班机工合计不少于36个月，担任电子技工不少于36个月的船员申请三副、三管轮、电子电气员适任证书考试（不强制岗位适任培训），船员如需要可以参加船员培训机构组织的不限时间和内容的考前培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7、鼓励“三明治”式船员培养模式，航海类学生可以尽早开始船员职业生涯，增加其上船机会和收入。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olor w:val="333333"/>
          <w:kern w:val="0"/>
          <w:sz w:val="32"/>
          <w:szCs w:val="32"/>
        </w:rPr>
        <w:t>本</w:t>
      </w:r>
      <w:r>
        <w:rPr>
          <w:rFonts w:hint="eastAsia" w:ascii="仿宋" w:hAnsi="仿宋" w:eastAsia="仿宋" w:cstheme="minorEastAsia"/>
          <w:color w:val="333333"/>
          <w:kern w:val="0"/>
          <w:sz w:val="32"/>
          <w:szCs w:val="32"/>
        </w:rPr>
        <w:t>次规则修订，鼓励学习</w:t>
      </w:r>
      <w:r>
        <w:rPr>
          <w:rFonts w:ascii="仿宋" w:hAnsi="仿宋" w:eastAsia="仿宋" w:cstheme="minorEastAsia"/>
          <w:color w:val="333333"/>
          <w:kern w:val="0"/>
          <w:sz w:val="32"/>
          <w:szCs w:val="32"/>
        </w:rPr>
        <w:t>-上船实践-学习</w:t>
      </w:r>
      <w:r>
        <w:rPr>
          <w:rFonts w:hint="eastAsia" w:ascii="仿宋" w:hAnsi="仿宋" w:eastAsia="仿宋" w:cstheme="minorEastAsia"/>
          <w:color w:val="333333"/>
          <w:kern w:val="0"/>
          <w:sz w:val="32"/>
          <w:szCs w:val="32"/>
        </w:rPr>
        <w:t>“三明治”式船员培养模式。除完成操作级船员适任考试等同于同时完成相应的值班水手、值班机工、电子技工考试外，也允许航海类学生在校期间已经完成值班水手、值班机工、电子技工内容的培训但未完成全部三副、三管轮、电子电气员的学生可以先单独申请值班水手、值班机工、电子技工考试。这样在他们完成</w:t>
      </w:r>
      <w:r>
        <w:rPr>
          <w:rFonts w:hint="eastAsia" w:ascii="仿宋" w:hAnsi="仿宋" w:eastAsia="仿宋"/>
          <w:color w:val="333333"/>
          <w:kern w:val="0"/>
          <w:sz w:val="32"/>
          <w:szCs w:val="32"/>
        </w:rPr>
        <w:t>船上见习后，可以在校期间申请相应的值班水手、值班机工、电子技工适任证书，能够提升他们的实操能力，也可以</w:t>
      </w:r>
      <w:r>
        <w:rPr>
          <w:rFonts w:hint="eastAsia" w:ascii="仿宋" w:hAnsi="仿宋" w:eastAsia="仿宋" w:cstheme="minorEastAsia"/>
          <w:color w:val="333333"/>
          <w:kern w:val="0"/>
          <w:sz w:val="32"/>
          <w:szCs w:val="32"/>
        </w:rPr>
        <w:t>尽早持有适任证书，开始职业生涯，增加其上船机会和收入。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8、认可履行同等职能作为海上服务资历，支持“双师型”航海教师建设。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双师型”航海教师是航海教育和船员培训发展的保障。目前我国持有船员适任证书的航海类教师为保持其适任证书再有效需要取得满足要求的海上服务资历，而实际上航海类教师由于教学需要、船期不合适等原因有时不一定能取得足够的海上服务资历。根据STCW公约规定，履行了等同</w:t>
      </w:r>
      <w:r>
        <w:rPr>
          <w:rFonts w:ascii="仿宋" w:hAnsi="仿宋" w:eastAsia="仿宋" w:cstheme="minorEastAsia"/>
          <w:color w:val="333333"/>
          <w:kern w:val="0"/>
          <w:sz w:val="32"/>
          <w:szCs w:val="32"/>
        </w:rPr>
        <w:t>职能</w:t>
      </w:r>
      <w:r>
        <w:rPr>
          <w:rFonts w:hint="eastAsia" w:ascii="仿宋" w:hAnsi="仿宋" w:eastAsia="仿宋" w:cstheme="minorEastAsia"/>
          <w:color w:val="333333"/>
          <w:kern w:val="0"/>
          <w:sz w:val="32"/>
          <w:szCs w:val="32"/>
        </w:rPr>
        <w:t>可以申请适任证书再有效。本次修订拟参照公约，增加</w:t>
      </w:r>
      <w:bookmarkStart w:id="1" w:name="OLE_LINK39"/>
      <w:bookmarkStart w:id="2" w:name="OLE_LINK38"/>
      <w:r>
        <w:rPr>
          <w:rFonts w:ascii="仿宋" w:hAnsi="仿宋" w:eastAsia="仿宋" w:cstheme="minorEastAsia"/>
          <w:color w:val="333333"/>
          <w:kern w:val="0"/>
          <w:sz w:val="32"/>
          <w:szCs w:val="32"/>
        </w:rPr>
        <w:t>履行了</w:t>
      </w:r>
      <w:r>
        <w:rPr>
          <w:rFonts w:hint="eastAsia" w:ascii="仿宋" w:hAnsi="仿宋" w:eastAsia="仿宋" w:cstheme="minorEastAsia"/>
          <w:color w:val="333333"/>
          <w:kern w:val="0"/>
          <w:sz w:val="32"/>
          <w:szCs w:val="32"/>
        </w:rPr>
        <w:t>经</w:t>
      </w:r>
      <w:bookmarkStart w:id="3" w:name="OLE_LINK34"/>
      <w:bookmarkStart w:id="4" w:name="OLE_LINK35"/>
      <w:r>
        <w:rPr>
          <w:rFonts w:hint="eastAsia" w:ascii="仿宋" w:hAnsi="仿宋" w:eastAsia="仿宋" w:cstheme="minorEastAsia"/>
          <w:color w:val="333333"/>
          <w:kern w:val="0"/>
          <w:sz w:val="32"/>
          <w:szCs w:val="32"/>
        </w:rPr>
        <w:t>国家海事管理机构</w:t>
      </w:r>
      <w:bookmarkEnd w:id="3"/>
      <w:bookmarkEnd w:id="4"/>
      <w:r>
        <w:rPr>
          <w:rFonts w:hint="eastAsia" w:ascii="仿宋" w:hAnsi="仿宋" w:eastAsia="仿宋" w:cstheme="minorEastAsia"/>
          <w:color w:val="333333"/>
          <w:kern w:val="0"/>
          <w:sz w:val="32"/>
          <w:szCs w:val="32"/>
        </w:rPr>
        <w:t>认定</w:t>
      </w:r>
      <w:r>
        <w:rPr>
          <w:rFonts w:ascii="仿宋" w:hAnsi="仿宋" w:eastAsia="仿宋" w:cstheme="minorEastAsia"/>
          <w:color w:val="333333"/>
          <w:kern w:val="0"/>
          <w:sz w:val="32"/>
          <w:szCs w:val="32"/>
        </w:rPr>
        <w:t>等同于</w:t>
      </w:r>
      <w:r>
        <w:rPr>
          <w:rFonts w:hint="eastAsia" w:ascii="仿宋" w:hAnsi="仿宋" w:eastAsia="仿宋" w:cstheme="minorEastAsia"/>
          <w:color w:val="333333"/>
          <w:kern w:val="0"/>
          <w:sz w:val="32"/>
          <w:szCs w:val="32"/>
        </w:rPr>
        <w:t>适任证书再有效</w:t>
      </w:r>
      <w:r>
        <w:rPr>
          <w:rFonts w:ascii="仿宋" w:hAnsi="仿宋" w:eastAsia="仿宋" w:cstheme="minorEastAsia"/>
          <w:color w:val="333333"/>
          <w:kern w:val="0"/>
          <w:sz w:val="32"/>
          <w:szCs w:val="32"/>
        </w:rPr>
        <w:t>要求海上服务资历职能</w:t>
      </w:r>
      <w:r>
        <w:rPr>
          <w:rFonts w:hint="eastAsia" w:ascii="仿宋" w:hAnsi="仿宋" w:eastAsia="仿宋" w:cstheme="minorEastAsia"/>
          <w:color w:val="333333"/>
          <w:kern w:val="0"/>
          <w:sz w:val="32"/>
          <w:szCs w:val="32"/>
        </w:rPr>
        <w:t>的适任证书再有效途径。</w:t>
      </w:r>
      <w:bookmarkEnd w:id="1"/>
      <w:bookmarkEnd w:id="2"/>
      <w:r>
        <w:rPr>
          <w:rFonts w:hint="eastAsia" w:ascii="仿宋" w:hAnsi="仿宋" w:eastAsia="仿宋" w:cstheme="minorEastAsia"/>
          <w:color w:val="333333"/>
          <w:kern w:val="0"/>
          <w:sz w:val="32"/>
          <w:szCs w:val="32"/>
        </w:rPr>
        <w:t>此类情形也可以适用于从事航运管理、海事管理的人员。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（三）优化考试模式，提高船员素质；强化船长和轮机长要求，保障航运安全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color w:val="333333"/>
          <w:kern w:val="0"/>
          <w:sz w:val="32"/>
          <w:szCs w:val="32"/>
        </w:rPr>
        <w:t>9、</w:t>
      </w:r>
      <w:r>
        <w:rPr>
          <w:rFonts w:hint="eastAsia" w:ascii="仿宋" w:hAnsi="仿宋" w:eastAsia="仿宋" w:cstheme="minorEastAsia"/>
          <w:bCs/>
          <w:color w:val="333333"/>
          <w:kern w:val="0"/>
          <w:sz w:val="32"/>
          <w:szCs w:val="32"/>
        </w:rPr>
        <w:t>取消考试、评估和船上见习先后顺序限制，为航海专业“三明治”和船员考试评估改革创造条件，</w:t>
      </w:r>
      <w:r>
        <w:rPr>
          <w:rFonts w:hint="eastAsia" w:ascii="仿宋" w:hAnsi="仿宋" w:eastAsia="仿宋" w:cstheme="minorEastAsia"/>
          <w:color w:val="333333"/>
          <w:kern w:val="0"/>
          <w:sz w:val="32"/>
          <w:szCs w:val="32"/>
        </w:rPr>
        <w:t>提升航海学生和船员的实操能力。</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color w:val="333333"/>
          <w:kern w:val="0"/>
          <w:sz w:val="32"/>
          <w:szCs w:val="32"/>
        </w:rPr>
        <w:t>“11规则”规定了我国船员必须通过船员适任考试和评估后，才能够进行船上见习。</w:t>
      </w:r>
      <w:r>
        <w:rPr>
          <w:rFonts w:hint="eastAsia" w:ascii="仿宋" w:hAnsi="仿宋" w:eastAsia="仿宋" w:cstheme="minorEastAsia"/>
          <w:bCs/>
          <w:color w:val="333333"/>
          <w:kern w:val="0"/>
          <w:sz w:val="32"/>
          <w:szCs w:val="32"/>
        </w:rPr>
        <w:t>此规定要求航海院校毕业生在毕业前完成适任考试和评估，有利于学生就业和后续公司安排船上见习，但目前已经不能适任航海教育和船员考试评估的发展。目前国内部分航海院校和航运企业根据《国家职业教育改革实施方案》“深化产教融合、校企合作，育训结合”、“推动企业深度参与协同育人”开展了“卓越班”等“三明治”航海教育和船员培养模式，迫切希望参照STCW公约允许先船上见习、后考试评估；另外上海船员评估示范中心等海事机构自有船员考试评估基地即将建成，为更科学的见习后再进行全面的适任评估奠定了基础。考虑到硬性规定船员在船上见习后参加适任评估，可能对船员就业上船产生影响，同时海事机构目前的评估能力也难以适应所有船员在船上见习后参加适任评估。本次规定拟取消考试、评估和船上见习先后顺序限制，不对船员船上见习和考试评估的顺序进行强制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10、微调无限航区大副晋升船长、大管轮晋升轮机长的资历认定，提高重要岗位船员的适任能力要求，保障船舶安全营运。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船长和轮机长适任能力对船舶安全营运至关重要，本次修订拟对无限航运大副晋升船长、大管轮晋升轮机长的资历认定进行微调，取消其可以有部分航海航区资历等同无限航区资历的要求，即仅允许“申请无限航区大副、二副、三副、大管轮、二管轮、三管轮、电子电气员适任证书职务晋升所要求的海上服务资历至少有6个月是在无限航区的船舶上任职，其余时间可以在沿海航区的船舶上任职”，大副晋升船长、大管轮晋升轮机长的资历必须与其申请的航区一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（四）其他修订内容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11、将航海类学生参加海船船员适任考试的要求从规则附件移到规则正文。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我国高级船员主要来源于航海院校毕业生，“11规则”将航海类学生的适任考试、船上见习、申请证书等要求放在规则的附件备注中，对全面认识、理解航海类学生职业发展有一定影响。本次修订规则将航海类学生参加海船船员适任考试的要求从规则附件移到规则正文，有利于社会理解和执行规则，促进航海职业教育的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color w:val="333333"/>
          <w:kern w:val="0"/>
          <w:sz w:val="32"/>
          <w:szCs w:val="32"/>
        </w:rPr>
        <w:t>11、根据《国务院关于取消和下放一批行政许可事项的决定》（国发〔2019〕6号），取消船员服务簿审批许可，将厨师、服务员等非值班船员纳入适任证书核发范围。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此次修订，将厨师、服务员等非值班船员纳入适任证书核发范围，海事机构在签发船员适任证书时发放船员服务簿。相应地在规则中增加不参加航行值班和轮机值班的船员适任证书包的基本内容、申请条件、提交材料等。另外将原《中华人民共和国船员注册管理办法》中关于船员服务簿的使用及相关罚则等内容纳入本规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12、增加滚装客船、使用气体或者其他低闪点燃料船舶和极地水域船舶要求，更好履行STCW公约。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目前STCW公约增加了使用气体或者其他低闪点燃料船舶和极地水域船舶船员要求，同时对客船船员的培训和适任标准进行了修订，本次规则修订需要纳入相关内容，另外为进一步保证客船、滚装客船船员的适任要求，本次修订拟将原放在规则实施办法中的客船、滚装客船适任证书消除限制要求和客船上的电子电气员的要求放在本规则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13、明确原规则附则中不足50海里客船、港作船等的船员的考试发证办法制定要求，拟规定直属海事管理机构可制定仅适用于本辖区航行的船员适任考试和发证办法，不另行制定的按照本规则执行。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11规则”规定不足50海里客船、港作船等的船员的考试发证办法不适用船员适任考试发证规则，实施办法中明确直属海事机构自行制定，上述安排对于不另行制定办法的地区如何操作没有明确。本次修订拟规定：直属海事管理机构可制定仅适用于本辖区航行的下列船舶船员适任</w:t>
      </w:r>
      <w:bookmarkStart w:id="5" w:name="OLE_LINK44"/>
      <w:bookmarkStart w:id="6" w:name="OLE_LINK45"/>
      <w:r>
        <w:rPr>
          <w:rFonts w:hint="eastAsia" w:ascii="仿宋" w:hAnsi="仿宋" w:eastAsia="仿宋" w:cstheme="minorEastAsia"/>
          <w:bCs/>
          <w:color w:val="333333"/>
          <w:kern w:val="0"/>
          <w:sz w:val="32"/>
          <w:szCs w:val="32"/>
        </w:rPr>
        <w:t>考试和发证办法</w:t>
      </w:r>
      <w:bookmarkEnd w:id="5"/>
      <w:bookmarkEnd w:id="6"/>
      <w:r>
        <w:rPr>
          <w:rFonts w:hint="eastAsia" w:ascii="仿宋" w:hAnsi="仿宋" w:eastAsia="仿宋" w:cstheme="minorEastAsia"/>
          <w:bCs/>
          <w:color w:val="333333"/>
          <w:kern w:val="0"/>
          <w:sz w:val="32"/>
          <w:szCs w:val="32"/>
        </w:rPr>
        <w:t>，不另行制定的适用本规则：（1）在两港间航程不足50海里的客船或者滚装客船上任职的船长和高级船员；（2）在未满100总吨船舶上任职的船长和甲板部船员；（3）在主推进动力装置未满220千瓦船舶上任职的轮机部船员；（4）仅在船籍港和船籍港附近水域航行和作业的船舶上任职的船员。同时对上述（1）（2）种情形拟允许船员通过任职考试补差后，申请适用于本规则的适任证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color w:val="333333"/>
          <w:kern w:val="0"/>
          <w:sz w:val="32"/>
          <w:szCs w:val="32"/>
        </w:rPr>
        <w:t>14、适当调整承认签证的范围和条件，使该项工作更具操作性。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将原放在培训合格证办法中要求的STCW公约第五章要求的船长和高级船员油船、化学品船、液化气船货物操作培训合格证承认签证要求统一放入本规则。另外根据《中华人民共和国船舶最低安全配员规则》，申请承认签证以我国与该船员证书签发国的双边证书认可协议为前提，此次修订将相关内容纳入规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15、规范</w:t>
      </w:r>
      <w:r>
        <w:rPr>
          <w:rFonts w:ascii="仿宋" w:hAnsi="仿宋" w:eastAsia="仿宋" w:cstheme="minorEastAsia"/>
          <w:bCs/>
          <w:color w:val="333333"/>
          <w:kern w:val="0"/>
          <w:sz w:val="32"/>
          <w:szCs w:val="32"/>
        </w:rPr>
        <w:t>境外机构</w:t>
      </w:r>
      <w:r>
        <w:rPr>
          <w:rFonts w:hint="eastAsia" w:ascii="仿宋" w:hAnsi="仿宋" w:eastAsia="仿宋" w:cstheme="minorEastAsia"/>
          <w:bCs/>
          <w:color w:val="333333"/>
          <w:kern w:val="0"/>
          <w:sz w:val="32"/>
          <w:szCs w:val="32"/>
        </w:rPr>
        <w:t>在我国境内办理</w:t>
      </w:r>
      <w:r>
        <w:rPr>
          <w:rFonts w:ascii="仿宋" w:hAnsi="仿宋" w:eastAsia="仿宋" w:cstheme="minorEastAsia"/>
          <w:bCs/>
          <w:color w:val="333333"/>
          <w:kern w:val="0"/>
          <w:sz w:val="32"/>
          <w:szCs w:val="32"/>
        </w:rPr>
        <w:t>签发</w:t>
      </w:r>
      <w:r>
        <w:rPr>
          <w:rFonts w:hint="eastAsia" w:ascii="仿宋" w:hAnsi="仿宋" w:eastAsia="仿宋" w:cstheme="minorEastAsia"/>
          <w:bCs/>
          <w:color w:val="333333"/>
          <w:kern w:val="0"/>
          <w:sz w:val="32"/>
          <w:szCs w:val="32"/>
        </w:rPr>
        <w:t>经修正的</w:t>
      </w:r>
      <w:r>
        <w:rPr>
          <w:rFonts w:ascii="仿宋" w:hAnsi="仿宋" w:eastAsia="仿宋" w:cstheme="minorEastAsia"/>
          <w:bCs/>
          <w:color w:val="333333"/>
          <w:kern w:val="0"/>
          <w:sz w:val="32"/>
          <w:szCs w:val="32"/>
        </w:rPr>
        <w:t>STCW公约涉及的各种</w:t>
      </w:r>
      <w:r>
        <w:rPr>
          <w:rFonts w:hint="eastAsia" w:ascii="仿宋" w:hAnsi="仿宋" w:eastAsia="仿宋" w:cstheme="minorEastAsia"/>
          <w:bCs/>
          <w:color w:val="333333"/>
          <w:kern w:val="0"/>
          <w:sz w:val="32"/>
          <w:szCs w:val="32"/>
        </w:rPr>
        <w:t>船员</w:t>
      </w:r>
      <w:r>
        <w:rPr>
          <w:rFonts w:ascii="仿宋" w:hAnsi="仿宋" w:eastAsia="仿宋" w:cstheme="minorEastAsia"/>
          <w:bCs/>
          <w:color w:val="333333"/>
          <w:kern w:val="0"/>
          <w:sz w:val="32"/>
          <w:szCs w:val="32"/>
        </w:rPr>
        <w:t>证书</w:t>
      </w:r>
      <w:r>
        <w:rPr>
          <w:rFonts w:hint="eastAsia" w:ascii="仿宋" w:hAnsi="仿宋" w:eastAsia="仿宋" w:cstheme="minorEastAsia"/>
          <w:bCs/>
          <w:color w:val="333333"/>
          <w:kern w:val="0"/>
          <w:sz w:val="32"/>
          <w:szCs w:val="32"/>
        </w:rPr>
        <w:t>（其他缔约国证书）行为，要求在我国办理相关业务须经</w:t>
      </w:r>
      <w:r>
        <w:rPr>
          <w:rFonts w:ascii="仿宋" w:hAnsi="仿宋" w:eastAsia="仿宋" w:cstheme="minorEastAsia"/>
          <w:bCs/>
          <w:color w:val="333333"/>
          <w:kern w:val="0"/>
          <w:sz w:val="32"/>
          <w:szCs w:val="32"/>
        </w:rPr>
        <w:t>主管机关</w:t>
      </w:r>
      <w:r>
        <w:rPr>
          <w:rFonts w:hint="eastAsia" w:ascii="仿宋" w:hAnsi="仿宋" w:eastAsia="仿宋" w:cstheme="minorEastAsia"/>
          <w:bCs/>
          <w:color w:val="333333"/>
          <w:kern w:val="0"/>
          <w:sz w:val="32"/>
          <w:szCs w:val="32"/>
        </w:rPr>
        <w:t>同意。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近年，一些</w:t>
      </w:r>
      <w:r>
        <w:rPr>
          <w:rFonts w:ascii="仿宋" w:hAnsi="仿宋" w:eastAsia="仿宋" w:cstheme="minorEastAsia"/>
          <w:bCs/>
          <w:color w:val="333333"/>
          <w:kern w:val="0"/>
          <w:sz w:val="32"/>
          <w:szCs w:val="32"/>
        </w:rPr>
        <w:t>境外机构</w:t>
      </w:r>
      <w:r>
        <w:rPr>
          <w:rFonts w:hint="eastAsia" w:ascii="仿宋" w:hAnsi="仿宋" w:eastAsia="仿宋" w:cstheme="minorEastAsia"/>
          <w:bCs/>
          <w:color w:val="333333"/>
          <w:kern w:val="0"/>
          <w:sz w:val="32"/>
          <w:szCs w:val="32"/>
        </w:rPr>
        <w:t>在我国境内开展</w:t>
      </w:r>
      <w:r>
        <w:rPr>
          <w:rFonts w:ascii="仿宋" w:hAnsi="仿宋" w:eastAsia="仿宋" w:cstheme="minorEastAsia"/>
          <w:bCs/>
          <w:color w:val="333333"/>
          <w:kern w:val="0"/>
          <w:sz w:val="32"/>
          <w:szCs w:val="32"/>
        </w:rPr>
        <w:t>签发</w:t>
      </w:r>
      <w:r>
        <w:rPr>
          <w:rFonts w:hint="eastAsia" w:ascii="仿宋" w:hAnsi="仿宋" w:eastAsia="仿宋" w:cstheme="minorEastAsia"/>
          <w:bCs/>
          <w:color w:val="333333"/>
          <w:kern w:val="0"/>
          <w:sz w:val="32"/>
          <w:szCs w:val="32"/>
        </w:rPr>
        <w:t>经修正的</w:t>
      </w:r>
      <w:r>
        <w:rPr>
          <w:rFonts w:ascii="仿宋" w:hAnsi="仿宋" w:eastAsia="仿宋" w:cstheme="minorEastAsia"/>
          <w:bCs/>
          <w:color w:val="333333"/>
          <w:kern w:val="0"/>
          <w:sz w:val="32"/>
          <w:szCs w:val="32"/>
        </w:rPr>
        <w:t>STCW公约涉及的各种</w:t>
      </w:r>
      <w:r>
        <w:rPr>
          <w:rFonts w:hint="eastAsia" w:ascii="仿宋" w:hAnsi="仿宋" w:eastAsia="仿宋" w:cstheme="minorEastAsia"/>
          <w:bCs/>
          <w:color w:val="333333"/>
          <w:kern w:val="0"/>
          <w:sz w:val="32"/>
          <w:szCs w:val="32"/>
        </w:rPr>
        <w:t>船员</w:t>
      </w:r>
      <w:r>
        <w:rPr>
          <w:rFonts w:ascii="仿宋" w:hAnsi="仿宋" w:eastAsia="仿宋" w:cstheme="minorEastAsia"/>
          <w:bCs/>
          <w:color w:val="333333"/>
          <w:kern w:val="0"/>
          <w:sz w:val="32"/>
          <w:szCs w:val="32"/>
        </w:rPr>
        <w:t>证书</w:t>
      </w:r>
      <w:r>
        <w:rPr>
          <w:rFonts w:hint="eastAsia" w:ascii="仿宋" w:hAnsi="仿宋" w:eastAsia="仿宋" w:cstheme="minorEastAsia"/>
          <w:bCs/>
          <w:color w:val="333333"/>
          <w:kern w:val="0"/>
          <w:sz w:val="32"/>
          <w:szCs w:val="32"/>
        </w:rPr>
        <w:t>（其他缔约国证书）业务，对此没有相关的规范，而实际上主管机关需要了解、掌握相关信息，此次修订规则拟增加限制境外机构或人员在境内办理船员证书（包括其他缔约国证书）的条款，即“</w:t>
      </w:r>
      <w:r>
        <w:rPr>
          <w:rFonts w:ascii="仿宋" w:hAnsi="仿宋" w:eastAsia="仿宋" w:cstheme="minorEastAsia"/>
          <w:bCs/>
          <w:color w:val="333333"/>
          <w:kern w:val="0"/>
          <w:sz w:val="32"/>
          <w:szCs w:val="32"/>
        </w:rPr>
        <w:t>未经主管机关</w:t>
      </w:r>
      <w:r>
        <w:rPr>
          <w:rFonts w:hint="eastAsia" w:ascii="仿宋" w:hAnsi="仿宋" w:eastAsia="仿宋" w:cstheme="minorEastAsia"/>
          <w:bCs/>
          <w:color w:val="333333"/>
          <w:kern w:val="0"/>
          <w:sz w:val="32"/>
          <w:szCs w:val="32"/>
        </w:rPr>
        <w:t>同意</w:t>
      </w:r>
      <w:r>
        <w:rPr>
          <w:rFonts w:ascii="仿宋" w:hAnsi="仿宋" w:eastAsia="仿宋" w:cstheme="minorEastAsia"/>
          <w:bCs/>
          <w:color w:val="333333"/>
          <w:kern w:val="0"/>
          <w:sz w:val="32"/>
          <w:szCs w:val="32"/>
        </w:rPr>
        <w:t>，任何境外机构或人员不得在中华人民共和国境内办理或授权办理签发</w:t>
      </w:r>
      <w:r>
        <w:rPr>
          <w:rFonts w:hint="eastAsia" w:ascii="仿宋" w:hAnsi="仿宋" w:eastAsia="仿宋" w:cstheme="minorEastAsia"/>
          <w:bCs/>
          <w:color w:val="333333"/>
          <w:kern w:val="0"/>
          <w:sz w:val="32"/>
          <w:szCs w:val="32"/>
        </w:rPr>
        <w:t>经修正的</w:t>
      </w:r>
      <w:r>
        <w:rPr>
          <w:rFonts w:ascii="仿宋" w:hAnsi="仿宋" w:eastAsia="仿宋" w:cstheme="minorEastAsia"/>
          <w:bCs/>
          <w:color w:val="333333"/>
          <w:kern w:val="0"/>
          <w:sz w:val="32"/>
          <w:szCs w:val="32"/>
        </w:rPr>
        <w:t>STCW公约涉及的各种</w:t>
      </w:r>
      <w:r>
        <w:rPr>
          <w:rFonts w:hint="eastAsia" w:ascii="仿宋" w:hAnsi="仿宋" w:eastAsia="仿宋" w:cstheme="minorEastAsia"/>
          <w:bCs/>
          <w:color w:val="333333"/>
          <w:kern w:val="0"/>
          <w:sz w:val="32"/>
          <w:szCs w:val="32"/>
        </w:rPr>
        <w:t>船员</w:t>
      </w:r>
      <w:r>
        <w:rPr>
          <w:rFonts w:ascii="仿宋" w:hAnsi="仿宋" w:eastAsia="仿宋" w:cstheme="minorEastAsia"/>
          <w:bCs/>
          <w:color w:val="333333"/>
          <w:kern w:val="0"/>
          <w:sz w:val="32"/>
          <w:szCs w:val="32"/>
        </w:rPr>
        <w:t>证书。</w:t>
      </w:r>
      <w:r>
        <w:rPr>
          <w:rFonts w:hint="eastAsia" w:ascii="仿宋" w:hAnsi="仿宋" w:eastAsia="仿宋" w:cstheme="minorEastAsia"/>
          <w:bCs/>
          <w:color w:val="333333"/>
          <w:kern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三、征求意见情况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交通运输部海事局分别于2018年11月1日和2019年5月30日在北京组织组织召开海事管理机构、培训机构和航运公司研讨，研究《中华人民共和国海船船员适任考试和发证规则》修订工作。规则修订工作组也先后赴中远海运船员管理有限公司、上海海事大学、上海海事职业技术学院等单位调研，与160多名高级船员进行2次座谈，听取规则修订意见建议，形成了《中华人民共和国海船船员适任考试和发证规则（征求意见稿）》。征求意见稿于2019年5月10日至6月9日在交通运输部海事局网站向社会征求意见，共收到海事管理机构、航运单位、船员有效反馈意见47条。意见建议主要集中在以下几个方面：一是壮大船员队伍方面，主要建议包括对于值班水手、值班机工晋升三副、三管轮能够增加36个月海上资历即可申请适任考试的路径；简化适任证书等级设置，便于各等级船员上船；适当调整船员职务晋升资历要求，防止新入职船员流失；适当调整适任证书再有效条件，稳定船员队伍等。二是船员考试方面，主要建议包括：灵活考试和船上见习顺序，为“三明治”培养模式创造条件；能否以适当形式公开题库，阻止网络假冒题库。三是建议航海类学习考试、发证规定从规则附件移到正文；允许持有高级船员适任证书的船员担任值班水手或值班机工。规则修订工作组通过逐条对反馈意见进行梳理和分析，采纳建议25条（包括全部采纳和部分采纳），形成目前的《中华人民共和国海船船员适任考试和发证规则（征求意见稿）》。</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color w:val="333333"/>
          <w:kern w:val="0"/>
          <w:sz w:val="32"/>
          <w:szCs w:val="32"/>
        </w:rPr>
      </w:pPr>
      <w:r>
        <w:rPr>
          <w:rFonts w:hint="eastAsia" w:ascii="仿宋" w:hAnsi="仿宋" w:eastAsia="仿宋" w:cstheme="minorEastAsia"/>
          <w:color w:val="333333"/>
          <w:kern w:val="0"/>
          <w:sz w:val="32"/>
          <w:szCs w:val="32"/>
        </w:rPr>
        <w:t>四、下一步建议</w:t>
      </w:r>
      <w:bookmarkStart w:id="7" w:name="_GoBack"/>
      <w:bookmarkEnd w:id="7"/>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 w:hAnsi="仿宋" w:eastAsia="仿宋" w:cstheme="minorEastAsia"/>
          <w:bCs/>
          <w:color w:val="333333"/>
          <w:kern w:val="0"/>
          <w:sz w:val="32"/>
          <w:szCs w:val="32"/>
        </w:rPr>
      </w:pPr>
      <w:r>
        <w:rPr>
          <w:rFonts w:hint="eastAsia" w:ascii="仿宋" w:hAnsi="仿宋" w:eastAsia="仿宋" w:cstheme="minorEastAsia"/>
          <w:bCs/>
          <w:color w:val="333333"/>
          <w:kern w:val="0"/>
          <w:sz w:val="32"/>
          <w:szCs w:val="32"/>
        </w:rPr>
        <w:t>《中华人民共和国海船船员适任考试和发证规则》通过办公会审议后，以部令方式发布施行。</w:t>
      </w:r>
    </w:p>
    <w:p>
      <w:pPr>
        <w:jc w:val="right"/>
        <w:rPr>
          <w:rFonts w:ascii="仿宋" w:hAnsi="仿宋" w:eastAsia="仿宋" w:cstheme="minorEastAsia"/>
          <w:bCs/>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7DFD"/>
    <w:rsid w:val="0001249A"/>
    <w:rsid w:val="00013D9D"/>
    <w:rsid w:val="00023CD4"/>
    <w:rsid w:val="00040C39"/>
    <w:rsid w:val="0004544F"/>
    <w:rsid w:val="00056B08"/>
    <w:rsid w:val="00060117"/>
    <w:rsid w:val="00071F95"/>
    <w:rsid w:val="000965B5"/>
    <w:rsid w:val="00096C27"/>
    <w:rsid w:val="000B734B"/>
    <w:rsid w:val="000D7428"/>
    <w:rsid w:val="00134813"/>
    <w:rsid w:val="001519B8"/>
    <w:rsid w:val="00165B3F"/>
    <w:rsid w:val="001679A3"/>
    <w:rsid w:val="00171C11"/>
    <w:rsid w:val="001A2721"/>
    <w:rsid w:val="001F1377"/>
    <w:rsid w:val="002104CE"/>
    <w:rsid w:val="00222E1B"/>
    <w:rsid w:val="0022481D"/>
    <w:rsid w:val="00226954"/>
    <w:rsid w:val="00230BAF"/>
    <w:rsid w:val="00245849"/>
    <w:rsid w:val="00274DED"/>
    <w:rsid w:val="00282653"/>
    <w:rsid w:val="00283C4E"/>
    <w:rsid w:val="002B4C25"/>
    <w:rsid w:val="002F4410"/>
    <w:rsid w:val="00300B14"/>
    <w:rsid w:val="00303F37"/>
    <w:rsid w:val="0031031F"/>
    <w:rsid w:val="00315AC1"/>
    <w:rsid w:val="00316304"/>
    <w:rsid w:val="00325D41"/>
    <w:rsid w:val="00344378"/>
    <w:rsid w:val="003519C9"/>
    <w:rsid w:val="00354C28"/>
    <w:rsid w:val="00360B4F"/>
    <w:rsid w:val="003C49D2"/>
    <w:rsid w:val="003D528E"/>
    <w:rsid w:val="003F3A12"/>
    <w:rsid w:val="0043338B"/>
    <w:rsid w:val="004414DA"/>
    <w:rsid w:val="00463301"/>
    <w:rsid w:val="004938A4"/>
    <w:rsid w:val="004D6B60"/>
    <w:rsid w:val="004D7715"/>
    <w:rsid w:val="004F23EC"/>
    <w:rsid w:val="004F32B7"/>
    <w:rsid w:val="005252A8"/>
    <w:rsid w:val="00537A58"/>
    <w:rsid w:val="0054324E"/>
    <w:rsid w:val="00543C54"/>
    <w:rsid w:val="00565404"/>
    <w:rsid w:val="00567661"/>
    <w:rsid w:val="00590748"/>
    <w:rsid w:val="005A0D25"/>
    <w:rsid w:val="005B4CEF"/>
    <w:rsid w:val="005E410B"/>
    <w:rsid w:val="005E5B1A"/>
    <w:rsid w:val="006076E0"/>
    <w:rsid w:val="00612EF0"/>
    <w:rsid w:val="00616A73"/>
    <w:rsid w:val="00623D96"/>
    <w:rsid w:val="0063150A"/>
    <w:rsid w:val="0064325C"/>
    <w:rsid w:val="00647D11"/>
    <w:rsid w:val="00677D03"/>
    <w:rsid w:val="0069664E"/>
    <w:rsid w:val="0069672D"/>
    <w:rsid w:val="006A0E69"/>
    <w:rsid w:val="006B1CDD"/>
    <w:rsid w:val="006B677E"/>
    <w:rsid w:val="006C72FE"/>
    <w:rsid w:val="006D6C87"/>
    <w:rsid w:val="006F0408"/>
    <w:rsid w:val="00704EC2"/>
    <w:rsid w:val="00720E27"/>
    <w:rsid w:val="00727DFD"/>
    <w:rsid w:val="00754E8B"/>
    <w:rsid w:val="007559A0"/>
    <w:rsid w:val="007603B6"/>
    <w:rsid w:val="007809A8"/>
    <w:rsid w:val="007940EA"/>
    <w:rsid w:val="007B3280"/>
    <w:rsid w:val="007B5E27"/>
    <w:rsid w:val="007C0B81"/>
    <w:rsid w:val="007D60BA"/>
    <w:rsid w:val="007E369D"/>
    <w:rsid w:val="00855111"/>
    <w:rsid w:val="0086477F"/>
    <w:rsid w:val="0087276F"/>
    <w:rsid w:val="008C51C1"/>
    <w:rsid w:val="008C5756"/>
    <w:rsid w:val="0091626B"/>
    <w:rsid w:val="00932FB7"/>
    <w:rsid w:val="0093753F"/>
    <w:rsid w:val="00941847"/>
    <w:rsid w:val="00946100"/>
    <w:rsid w:val="00975735"/>
    <w:rsid w:val="00981D2E"/>
    <w:rsid w:val="00983332"/>
    <w:rsid w:val="00995FE5"/>
    <w:rsid w:val="009D187B"/>
    <w:rsid w:val="009D5306"/>
    <w:rsid w:val="009E6AE6"/>
    <w:rsid w:val="009E7E1A"/>
    <w:rsid w:val="009F05FF"/>
    <w:rsid w:val="009F55DB"/>
    <w:rsid w:val="00A07872"/>
    <w:rsid w:val="00A27406"/>
    <w:rsid w:val="00A30DB8"/>
    <w:rsid w:val="00A34DFC"/>
    <w:rsid w:val="00A62C1C"/>
    <w:rsid w:val="00A6728A"/>
    <w:rsid w:val="00AB1D83"/>
    <w:rsid w:val="00AB2750"/>
    <w:rsid w:val="00AF10C8"/>
    <w:rsid w:val="00AF7017"/>
    <w:rsid w:val="00B07602"/>
    <w:rsid w:val="00B16B66"/>
    <w:rsid w:val="00B229E6"/>
    <w:rsid w:val="00B31933"/>
    <w:rsid w:val="00B3714B"/>
    <w:rsid w:val="00B75C78"/>
    <w:rsid w:val="00B95886"/>
    <w:rsid w:val="00BB19FA"/>
    <w:rsid w:val="00BE224D"/>
    <w:rsid w:val="00BE4623"/>
    <w:rsid w:val="00BF162E"/>
    <w:rsid w:val="00C13B6C"/>
    <w:rsid w:val="00C17889"/>
    <w:rsid w:val="00C229E2"/>
    <w:rsid w:val="00C4505F"/>
    <w:rsid w:val="00C910A7"/>
    <w:rsid w:val="00C97801"/>
    <w:rsid w:val="00CB7B77"/>
    <w:rsid w:val="00CB7DC4"/>
    <w:rsid w:val="00CC7CF1"/>
    <w:rsid w:val="00CE105B"/>
    <w:rsid w:val="00CE7D47"/>
    <w:rsid w:val="00CF485E"/>
    <w:rsid w:val="00D17870"/>
    <w:rsid w:val="00D2337E"/>
    <w:rsid w:val="00D23A3E"/>
    <w:rsid w:val="00D52DF8"/>
    <w:rsid w:val="00D540C0"/>
    <w:rsid w:val="00D62FF5"/>
    <w:rsid w:val="00D631D9"/>
    <w:rsid w:val="00D650BC"/>
    <w:rsid w:val="00D74B0E"/>
    <w:rsid w:val="00D76E60"/>
    <w:rsid w:val="00D903B3"/>
    <w:rsid w:val="00D9114D"/>
    <w:rsid w:val="00DD3CA7"/>
    <w:rsid w:val="00E13A5A"/>
    <w:rsid w:val="00E57F5C"/>
    <w:rsid w:val="00E96864"/>
    <w:rsid w:val="00EE2EF8"/>
    <w:rsid w:val="00EE3649"/>
    <w:rsid w:val="00EE36BF"/>
    <w:rsid w:val="00F2046E"/>
    <w:rsid w:val="00F21F9B"/>
    <w:rsid w:val="00F26F5C"/>
    <w:rsid w:val="00F50469"/>
    <w:rsid w:val="00F66F4D"/>
    <w:rsid w:val="00F714B7"/>
    <w:rsid w:val="00F95917"/>
    <w:rsid w:val="00FB7046"/>
    <w:rsid w:val="00FC146B"/>
    <w:rsid w:val="00FD4468"/>
    <w:rsid w:val="00FE03ED"/>
    <w:rsid w:val="00FE0B71"/>
    <w:rsid w:val="00FE5DF6"/>
    <w:rsid w:val="00FE6184"/>
    <w:rsid w:val="01F812F7"/>
    <w:rsid w:val="027F73C9"/>
    <w:rsid w:val="03502052"/>
    <w:rsid w:val="05C158F1"/>
    <w:rsid w:val="079D2283"/>
    <w:rsid w:val="09003C60"/>
    <w:rsid w:val="0C0839D4"/>
    <w:rsid w:val="0CD67446"/>
    <w:rsid w:val="0D151D1C"/>
    <w:rsid w:val="0DE129B5"/>
    <w:rsid w:val="0E5A0E0E"/>
    <w:rsid w:val="139F46D7"/>
    <w:rsid w:val="1900019A"/>
    <w:rsid w:val="1AF32F08"/>
    <w:rsid w:val="1DA717C3"/>
    <w:rsid w:val="1FAE0562"/>
    <w:rsid w:val="233168E9"/>
    <w:rsid w:val="250E133A"/>
    <w:rsid w:val="270403B2"/>
    <w:rsid w:val="2B8C449E"/>
    <w:rsid w:val="2D2F4776"/>
    <w:rsid w:val="2D7F068D"/>
    <w:rsid w:val="365E2818"/>
    <w:rsid w:val="38037CA4"/>
    <w:rsid w:val="3A792D7F"/>
    <w:rsid w:val="43875923"/>
    <w:rsid w:val="48B14052"/>
    <w:rsid w:val="496B2EEB"/>
    <w:rsid w:val="51614696"/>
    <w:rsid w:val="5B2842C4"/>
    <w:rsid w:val="5C2A01A7"/>
    <w:rsid w:val="62870AD1"/>
    <w:rsid w:val="67035B22"/>
    <w:rsid w:val="6D11336B"/>
    <w:rsid w:val="75A20B97"/>
    <w:rsid w:val="77FB4C01"/>
    <w:rsid w:val="7CB9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character" w:customStyle="1" w:styleId="8">
    <w:name w:val="页眉 Char"/>
    <w:basedOn w:val="6"/>
    <w:link w:val="3"/>
    <w:semiHidden/>
    <w:qFormat/>
    <w:uiPriority w:val="99"/>
    <w:rPr>
      <w:rFonts w:ascii="Calibri" w:hAnsi="Calibri" w:eastAsia="宋体" w:cs="Times New Roman"/>
      <w:sz w:val="18"/>
      <w:szCs w:val="18"/>
    </w:rPr>
  </w:style>
  <w:style w:type="character" w:customStyle="1" w:styleId="9">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1E96D-C78F-4C34-B6E8-17CCF69830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1028</Words>
  <Characters>5864</Characters>
  <Lines>48</Lines>
  <Paragraphs>13</Paragraphs>
  <TotalTime>13</TotalTime>
  <ScaleCrop>false</ScaleCrop>
  <LinksUpToDate>false</LinksUpToDate>
  <CharactersWithSpaces>6879</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2019-08-29T04:11:00Z</dcterms:created>
  <dc:creator>USER</dc:creator>
  <cp:lastModifiedBy>thinkpad</cp:lastModifiedBy>
  <dcterms:modified xsi:type="dcterms:W3CDTF">2019-09-03T08:31:20Z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